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239"/>
        <w:gridCol w:w="2004"/>
        <w:gridCol w:w="3145"/>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27" w:type="pct"/>
          </w:tcPr>
          <w:p>
            <w:pPr>
              <w:jc w:val="center"/>
              <w:rPr>
                <w:rFonts w:hint="eastAsia" w:eastAsiaTheme="minorEastAsia"/>
                <w:vertAlign w:val="baseline"/>
                <w:lang w:val="en-US" w:eastAsia="zh-CN"/>
              </w:rPr>
            </w:pPr>
            <w:r>
              <w:rPr>
                <w:rFonts w:hint="eastAsia"/>
                <w:vertAlign w:val="baseline"/>
                <w:lang w:val="en-US" w:eastAsia="zh-CN"/>
              </w:rPr>
              <w:t>申请人</w:t>
            </w:r>
          </w:p>
        </w:tc>
        <w:tc>
          <w:tcPr>
            <w:tcW w:w="1176" w:type="pct"/>
          </w:tcPr>
          <w:p>
            <w:pPr>
              <w:jc w:val="center"/>
              <w:rPr>
                <w:rFonts w:hint="default" w:eastAsiaTheme="minorEastAsia"/>
                <w:vertAlign w:val="baseline"/>
                <w:lang w:val="en-US" w:eastAsia="zh-CN"/>
              </w:rPr>
            </w:pPr>
            <w:r>
              <w:rPr>
                <w:rFonts w:hint="eastAsia"/>
                <w:vertAlign w:val="baseline"/>
                <w:lang w:val="en-US" w:eastAsia="zh-CN"/>
              </w:rPr>
              <w:t>申请人单位</w:t>
            </w:r>
          </w:p>
        </w:tc>
        <w:tc>
          <w:tcPr>
            <w:tcW w:w="1845" w:type="pct"/>
          </w:tcPr>
          <w:p>
            <w:pPr>
              <w:jc w:val="center"/>
              <w:rPr>
                <w:rFonts w:hint="eastAsia" w:eastAsiaTheme="minorEastAsia"/>
                <w:vertAlign w:val="baseline"/>
                <w:lang w:val="en-US" w:eastAsia="zh-CN"/>
              </w:rPr>
            </w:pPr>
            <w:r>
              <w:rPr>
                <w:rFonts w:hint="eastAsia"/>
                <w:vertAlign w:val="baseline"/>
                <w:lang w:val="en-US" w:eastAsia="zh-CN"/>
              </w:rPr>
              <w:t>项目名称</w:t>
            </w:r>
          </w:p>
        </w:tc>
        <w:tc>
          <w:tcPr>
            <w:tcW w:w="1250" w:type="pct"/>
          </w:tcPr>
          <w:p>
            <w:pPr>
              <w:jc w:val="center"/>
              <w:rPr>
                <w:rFonts w:hint="default" w:eastAsiaTheme="minorEastAsia"/>
                <w:vertAlign w:val="baseline"/>
                <w:lang w:val="en-US" w:eastAsia="zh-CN"/>
              </w:rPr>
            </w:pPr>
            <w:r>
              <w:rPr>
                <w:rFonts w:hint="eastAsia"/>
                <w:vertAlign w:val="baseline"/>
                <w:lang w:val="en-US" w:eastAsia="zh-CN"/>
              </w:rPr>
              <w:t>项目自选方向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27"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周祺惠</w:t>
            </w:r>
          </w:p>
        </w:tc>
        <w:tc>
          <w:tcPr>
            <w:tcW w:w="1176"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康复大学</w:t>
            </w:r>
          </w:p>
        </w:tc>
        <w:tc>
          <w:tcPr>
            <w:tcW w:w="1845"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负载益生菌的海洋多糖基释氧水凝胶用于牙周组织修复再生</w:t>
            </w:r>
          </w:p>
        </w:tc>
        <w:tc>
          <w:tcPr>
            <w:tcW w:w="125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牙周炎治疗和颌面部软硬组织修复相关的新材料与技术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27"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吴亚平</w:t>
            </w:r>
          </w:p>
        </w:tc>
        <w:tc>
          <w:tcPr>
            <w:tcW w:w="1176"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南京医科大学</w:t>
            </w:r>
          </w:p>
        </w:tc>
        <w:tc>
          <w:tcPr>
            <w:tcW w:w="1845"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基于 PROTAC 策略构建生理响应性纳米前药治疗口腔鳞癌</w:t>
            </w:r>
          </w:p>
        </w:tc>
        <w:tc>
          <w:tcPr>
            <w:tcW w:w="125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纳米材料和纳米智能载体用于疾病诊疗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27"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张强</w:t>
            </w:r>
          </w:p>
        </w:tc>
        <w:tc>
          <w:tcPr>
            <w:tcW w:w="1176"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皖南医学院</w:t>
            </w:r>
          </w:p>
        </w:tc>
        <w:tc>
          <w:tcPr>
            <w:tcW w:w="1845"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三光子半导体聚合物量子点用于 AD 鼠脑内氧化应激的精准成像分析</w:t>
            </w:r>
          </w:p>
        </w:tc>
        <w:tc>
          <w:tcPr>
            <w:tcW w:w="125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荧光探针用于疾病标志物的精准检测与深度成像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27"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陈云艳</w:t>
            </w:r>
          </w:p>
        </w:tc>
        <w:tc>
          <w:tcPr>
            <w:tcW w:w="1176"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皖南医学院</w:t>
            </w:r>
          </w:p>
        </w:tc>
        <w:tc>
          <w:tcPr>
            <w:tcW w:w="1845"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基于肿瘤微环境触发具主动靶向功能的中药脂质微乳复合系统的构建及其用于肺癌治疗的研究</w:t>
            </w:r>
          </w:p>
        </w:tc>
        <w:tc>
          <w:tcPr>
            <w:tcW w:w="125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牙周炎、肿瘤的重要纳米递药系统研究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27"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陈羽</w:t>
            </w:r>
          </w:p>
        </w:tc>
        <w:tc>
          <w:tcPr>
            <w:tcW w:w="1176"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皖南医学院</w:t>
            </w:r>
          </w:p>
        </w:tc>
        <w:tc>
          <w:tcPr>
            <w:tcW w:w="1845"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基于 Spirocitromycetin 为母核的新型双膦酸衍生物的合成及其对骨质疏松活性的构效关系研究</w:t>
            </w:r>
          </w:p>
        </w:tc>
        <w:tc>
          <w:tcPr>
            <w:tcW w:w="125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新型活性药物分子的设计、合成及在口腔医学中的应用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27"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温文杰</w:t>
            </w:r>
          </w:p>
        </w:tc>
        <w:tc>
          <w:tcPr>
            <w:tcW w:w="1176"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皖南医学院</w:t>
            </w:r>
          </w:p>
        </w:tc>
        <w:tc>
          <w:tcPr>
            <w:tcW w:w="1845"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SLC25A20/CPT1 调控线粒体损伤在口腔鳞状细胞癌微环境中的机制研究</w:t>
            </w:r>
          </w:p>
        </w:tc>
        <w:tc>
          <w:tcPr>
            <w:tcW w:w="125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肿瘤微环境在口腔肿瘤发生发展中作用的机制研究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27"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王月桐</w:t>
            </w:r>
          </w:p>
        </w:tc>
        <w:tc>
          <w:tcPr>
            <w:tcW w:w="1176"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南京师范大学</w:t>
            </w:r>
          </w:p>
        </w:tc>
        <w:tc>
          <w:tcPr>
            <w:tcW w:w="1845"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多功能复合口腔黏膜修复支架的构建与应用研究</w:t>
            </w:r>
          </w:p>
        </w:tc>
        <w:tc>
          <w:tcPr>
            <w:tcW w:w="125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口腔黏膜修复的新材料与技术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27"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任丹丹</w:t>
            </w:r>
          </w:p>
        </w:tc>
        <w:tc>
          <w:tcPr>
            <w:tcW w:w="1176"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皖南医学院</w:t>
            </w:r>
          </w:p>
        </w:tc>
        <w:tc>
          <w:tcPr>
            <w:tcW w:w="1845"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具有酶活性的3D打印锆基MOF水凝胶用于糖尿病下的口腔黏膜损伤修复的研究</w:t>
            </w:r>
          </w:p>
        </w:tc>
        <w:tc>
          <w:tcPr>
            <w:tcW w:w="125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3D打印在口腔医学中的应用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27"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李睿</w:t>
            </w:r>
          </w:p>
        </w:tc>
        <w:tc>
          <w:tcPr>
            <w:tcW w:w="1176"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皖南医学院</w:t>
            </w:r>
          </w:p>
        </w:tc>
        <w:tc>
          <w:tcPr>
            <w:tcW w:w="1845"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基于静电纺丝技术制备生物玻璃纤维促进牙周组织修复的机制研究</w:t>
            </w:r>
          </w:p>
        </w:tc>
        <w:tc>
          <w:tcPr>
            <w:tcW w:w="125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口腔材料构建的微环境与口腔疾病的关联性机制研究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27"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周嵩琳</w:t>
            </w:r>
          </w:p>
        </w:tc>
        <w:tc>
          <w:tcPr>
            <w:tcW w:w="1176"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皖南医学院</w:t>
            </w:r>
          </w:p>
        </w:tc>
        <w:tc>
          <w:tcPr>
            <w:tcW w:w="1845"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百里香精油 /TiO2 改性正畸树脂对口腔微环境的抗菌活性研究</w:t>
            </w:r>
          </w:p>
        </w:tc>
        <w:tc>
          <w:tcPr>
            <w:tcW w:w="125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牙体硬组织再矿化及修复的新材料与技术</w:t>
            </w:r>
          </w:p>
        </w:tc>
      </w:tr>
    </w:tbl>
    <w:p>
      <w:pPr>
        <w:jc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hNTFmZjU1OWNkYmNmOTJlYjJhNjM4YjM2ZDJiOTMifQ=="/>
  </w:docVars>
  <w:rsids>
    <w:rsidRoot w:val="3F7E22AA"/>
    <w:rsid w:val="022D7723"/>
    <w:rsid w:val="3F7E2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2024-04-23T06:36:00Z</dcterms:created>
  <dc:creator>张珏</dc:creator>
  <cp:lastModifiedBy>张珏</cp:lastModifiedBy>
  <dcterms:modified xsi:type="dcterms:W3CDTF">2024-04-23T06:40:48Z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C287D82D174240F780F356CC72B7FF73_13</vt:lpwstr>
  </property>
</Properties>
</file>